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p>
    <w:p w:rsidR="009A0C06" w:rsidRPr="00DE299F" w:rsidRDefault="009A0C06" w:rsidP="00926DF8"/>
    <w:p w:rsidR="0030669E" w:rsidRPr="00DE299F" w:rsidRDefault="0030669E" w:rsidP="0030669E">
      <w:pPr>
        <w:ind w:firstLine="567"/>
        <w:jc w:val="both"/>
        <w:rPr>
          <w:rFonts w:ascii="Arial" w:hAnsi="Arial" w:cs="Arial"/>
        </w:rPr>
      </w:pPr>
      <w:r w:rsidRPr="00DE299F">
        <w:rPr>
          <w:rFonts w:ascii="Arial" w:hAnsi="Arial" w:cs="Arial"/>
        </w:rPr>
        <w:t xml:space="preserve">В соответствии с Бюджетным кодексом Российской Федерации, ст. 30 Устава </w:t>
      </w:r>
      <w:r>
        <w:rPr>
          <w:rFonts w:ascii="Arial" w:hAnsi="Arial" w:cs="Arial"/>
        </w:rPr>
        <w:t>городского округа город Арзамас</w:t>
      </w:r>
      <w:r w:rsidRPr="00DE299F">
        <w:rPr>
          <w:rFonts w:ascii="Arial" w:hAnsi="Arial" w:cs="Arial"/>
        </w:rPr>
        <w:t xml:space="preserve"> Нижегородской области, Положением о бюджетном процессе в городском округе город Арзамас, принятым решением Арзамасской</w:t>
      </w:r>
      <w:r>
        <w:rPr>
          <w:rFonts w:ascii="Arial" w:hAnsi="Arial" w:cs="Arial"/>
        </w:rPr>
        <w:t xml:space="preserve"> городской Думы от 26.10.2012 года</w:t>
      </w:r>
      <w:r w:rsidRPr="00DE299F">
        <w:rPr>
          <w:rFonts w:ascii="Arial" w:hAnsi="Arial" w:cs="Arial"/>
        </w:rPr>
        <w:t xml:space="preserve"> № 101</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7662BE" w:rsidRPr="0033529B" w:rsidRDefault="007662BE" w:rsidP="007662BE">
      <w:pPr>
        <w:ind w:firstLine="708"/>
        <w:jc w:val="both"/>
        <w:rPr>
          <w:rFonts w:ascii="Arial" w:hAnsi="Arial" w:cs="Arial"/>
        </w:rPr>
      </w:pPr>
      <w:r w:rsidRPr="00801C28">
        <w:rPr>
          <w:rFonts w:ascii="Arial" w:hAnsi="Arial" w:cs="Arial"/>
        </w:rPr>
        <w:t xml:space="preserve">1. </w:t>
      </w:r>
      <w:r w:rsidRPr="0033529B">
        <w:rPr>
          <w:rFonts w:ascii="Arial" w:hAnsi="Arial" w:cs="Arial"/>
        </w:rPr>
        <w:t>Утвердить основные характеристики бюджета городского округа город Арзамас на 202</w:t>
      </w:r>
      <w:r>
        <w:rPr>
          <w:rFonts w:ascii="Arial" w:hAnsi="Arial" w:cs="Arial"/>
        </w:rPr>
        <w:t>6</w:t>
      </w:r>
      <w:r w:rsidRPr="0033529B">
        <w:rPr>
          <w:rFonts w:ascii="Arial" w:hAnsi="Arial" w:cs="Arial"/>
        </w:rPr>
        <w:t xml:space="preserve"> год:</w:t>
      </w:r>
    </w:p>
    <w:p w:rsidR="007662BE" w:rsidRPr="00775EB5" w:rsidRDefault="007662BE" w:rsidP="007662BE">
      <w:pPr>
        <w:ind w:firstLine="708"/>
        <w:jc w:val="both"/>
        <w:rPr>
          <w:rFonts w:ascii="Arial" w:hAnsi="Arial" w:cs="Arial"/>
        </w:rPr>
      </w:pPr>
      <w:r w:rsidRPr="00461243">
        <w:rPr>
          <w:rFonts w:ascii="Arial" w:hAnsi="Arial" w:cs="Arial"/>
        </w:rPr>
        <w:t xml:space="preserve">- </w:t>
      </w:r>
      <w:r w:rsidRPr="00775EB5">
        <w:rPr>
          <w:rFonts w:ascii="Arial" w:hAnsi="Arial" w:cs="Arial"/>
        </w:rPr>
        <w:t>общий объем доходов в сумме 7 469 850,9 тыс. рублей;</w:t>
      </w:r>
    </w:p>
    <w:p w:rsidR="007662BE" w:rsidRPr="00775EB5" w:rsidRDefault="007662BE" w:rsidP="007662BE">
      <w:pPr>
        <w:ind w:firstLine="708"/>
        <w:jc w:val="both"/>
        <w:rPr>
          <w:rFonts w:ascii="Arial" w:hAnsi="Arial" w:cs="Arial"/>
        </w:rPr>
      </w:pPr>
      <w:r w:rsidRPr="00775EB5">
        <w:rPr>
          <w:rFonts w:ascii="Arial" w:hAnsi="Arial" w:cs="Arial"/>
        </w:rPr>
        <w:t>- общий объем расходов в сумме 7 469 850,9 тыс. рублей;</w:t>
      </w:r>
    </w:p>
    <w:p w:rsidR="007662BE" w:rsidRPr="00775EB5" w:rsidRDefault="007662BE" w:rsidP="007662BE">
      <w:pPr>
        <w:ind w:firstLine="708"/>
        <w:jc w:val="both"/>
        <w:rPr>
          <w:rFonts w:ascii="Arial" w:hAnsi="Arial" w:cs="Arial"/>
        </w:rPr>
      </w:pPr>
      <w:r w:rsidRPr="00775EB5">
        <w:rPr>
          <w:rFonts w:ascii="Arial" w:hAnsi="Arial" w:cs="Arial"/>
        </w:rPr>
        <w:t>- размер дефицита бюджета в сумме 0,0 тыс. рублей.</w:t>
      </w:r>
    </w:p>
    <w:p w:rsidR="007662BE" w:rsidRPr="00775EB5" w:rsidRDefault="007662BE" w:rsidP="007662BE">
      <w:pPr>
        <w:ind w:firstLine="708"/>
        <w:jc w:val="both"/>
        <w:rPr>
          <w:rFonts w:ascii="Arial" w:hAnsi="Arial" w:cs="Arial"/>
        </w:rPr>
      </w:pPr>
    </w:p>
    <w:p w:rsidR="007662BE" w:rsidRPr="00775EB5" w:rsidRDefault="007662BE" w:rsidP="007662BE">
      <w:pPr>
        <w:ind w:firstLine="708"/>
        <w:jc w:val="both"/>
        <w:rPr>
          <w:rFonts w:ascii="Arial" w:hAnsi="Arial" w:cs="Arial"/>
        </w:rPr>
      </w:pPr>
      <w:r w:rsidRPr="00775EB5">
        <w:rPr>
          <w:rFonts w:ascii="Arial" w:hAnsi="Arial" w:cs="Arial"/>
        </w:rPr>
        <w:t>2. Утвердить основные характеристики бюджета городского округа город Арзамас на плановый период 2027 и 2028 годов:</w:t>
      </w:r>
    </w:p>
    <w:p w:rsidR="007662BE" w:rsidRPr="0033529B" w:rsidRDefault="007662BE" w:rsidP="007662BE">
      <w:pPr>
        <w:ind w:firstLine="708"/>
        <w:jc w:val="both"/>
        <w:rPr>
          <w:rFonts w:ascii="Arial" w:hAnsi="Arial" w:cs="Arial"/>
        </w:rPr>
      </w:pPr>
      <w:r w:rsidRPr="00775EB5">
        <w:rPr>
          <w:rFonts w:ascii="Arial" w:hAnsi="Arial" w:cs="Arial"/>
        </w:rPr>
        <w:t>- общий объем доходов на 2027 год в сумме 7 180 189,3 тыс. рублей, на 2028 год в сумме 7 475 280,3 тыс. рублей;</w:t>
      </w:r>
    </w:p>
    <w:p w:rsidR="007662BE" w:rsidRPr="0033529B" w:rsidRDefault="007662BE" w:rsidP="007662BE">
      <w:pPr>
        <w:ind w:firstLine="708"/>
        <w:jc w:val="both"/>
        <w:rPr>
          <w:rFonts w:ascii="Arial" w:hAnsi="Arial" w:cs="Arial"/>
        </w:rPr>
      </w:pPr>
      <w:r w:rsidRPr="0033529B">
        <w:rPr>
          <w:rFonts w:ascii="Arial" w:hAnsi="Arial" w:cs="Arial"/>
        </w:rPr>
        <w:t>- общий объем расходов на 202</w:t>
      </w:r>
      <w:r>
        <w:rPr>
          <w:rFonts w:ascii="Arial" w:hAnsi="Arial" w:cs="Arial"/>
        </w:rPr>
        <w:t>7</w:t>
      </w:r>
      <w:r w:rsidRPr="0033529B">
        <w:rPr>
          <w:rFonts w:ascii="Arial" w:hAnsi="Arial" w:cs="Arial"/>
        </w:rPr>
        <w:t xml:space="preserve"> год в сумме </w:t>
      </w:r>
      <w:r w:rsidRPr="00653652">
        <w:rPr>
          <w:rFonts w:ascii="Arial" w:hAnsi="Arial" w:cs="Arial"/>
        </w:rPr>
        <w:t>7</w:t>
      </w:r>
      <w:r>
        <w:rPr>
          <w:rFonts w:ascii="Arial" w:hAnsi="Arial" w:cs="Arial"/>
        </w:rPr>
        <w:t xml:space="preserve"> </w:t>
      </w:r>
      <w:r w:rsidRPr="00653652">
        <w:rPr>
          <w:rFonts w:ascii="Arial" w:hAnsi="Arial" w:cs="Arial"/>
        </w:rPr>
        <w:t>149 636</w:t>
      </w:r>
      <w:r>
        <w:rPr>
          <w:rFonts w:ascii="Arial" w:hAnsi="Arial" w:cs="Arial"/>
        </w:rPr>
        <w:t>,</w:t>
      </w:r>
      <w:r w:rsidRPr="00653652">
        <w:rPr>
          <w:rFonts w:ascii="Arial" w:hAnsi="Arial" w:cs="Arial"/>
        </w:rPr>
        <w:t>0</w:t>
      </w:r>
      <w:r>
        <w:rPr>
          <w:rFonts w:ascii="Arial" w:hAnsi="Arial" w:cs="Arial"/>
        </w:rPr>
        <w:t xml:space="preserve"> </w:t>
      </w:r>
      <w:r w:rsidRPr="0033529B">
        <w:rPr>
          <w:rFonts w:ascii="Arial" w:hAnsi="Arial" w:cs="Arial"/>
        </w:rPr>
        <w:t xml:space="preserve">тыс. рублей, в том числе условно утверждаемые расходы в сумме </w:t>
      </w:r>
      <w:r>
        <w:rPr>
          <w:rFonts w:ascii="Arial" w:hAnsi="Arial" w:cs="Arial"/>
        </w:rPr>
        <w:t xml:space="preserve">266 634,8 </w:t>
      </w:r>
      <w:r w:rsidRPr="0033529B">
        <w:rPr>
          <w:rFonts w:ascii="Arial" w:hAnsi="Arial" w:cs="Arial"/>
        </w:rPr>
        <w:t>тыс. рублей, на 202</w:t>
      </w:r>
      <w:r>
        <w:rPr>
          <w:rFonts w:ascii="Arial" w:hAnsi="Arial" w:cs="Arial"/>
        </w:rPr>
        <w:t>8</w:t>
      </w:r>
      <w:r w:rsidRPr="0033529B">
        <w:rPr>
          <w:rFonts w:ascii="Arial" w:hAnsi="Arial" w:cs="Arial"/>
        </w:rPr>
        <w:t xml:space="preserve"> год в сумме </w:t>
      </w:r>
      <w:r>
        <w:rPr>
          <w:rFonts w:ascii="Arial" w:hAnsi="Arial" w:cs="Arial"/>
        </w:rPr>
        <w:t xml:space="preserve">7 444 727,0 </w:t>
      </w:r>
      <w:r w:rsidRPr="0033529B">
        <w:rPr>
          <w:rFonts w:ascii="Arial" w:hAnsi="Arial" w:cs="Arial"/>
        </w:rPr>
        <w:t>тыс. рублей, в том числе условно утверждаемые расходы в сумме</w:t>
      </w:r>
      <w:r>
        <w:rPr>
          <w:rFonts w:ascii="Arial" w:hAnsi="Arial" w:cs="Arial"/>
        </w:rPr>
        <w:t xml:space="preserve"> 447 519,1 </w:t>
      </w:r>
      <w:r w:rsidRPr="0033529B">
        <w:rPr>
          <w:rFonts w:ascii="Arial" w:hAnsi="Arial" w:cs="Arial"/>
        </w:rPr>
        <w:t>тыс. рублей;</w:t>
      </w:r>
    </w:p>
    <w:p w:rsidR="007662BE" w:rsidRPr="00801C28" w:rsidRDefault="007662BE" w:rsidP="007662BE">
      <w:pPr>
        <w:ind w:firstLine="708"/>
        <w:jc w:val="both"/>
        <w:rPr>
          <w:rFonts w:ascii="Arial" w:hAnsi="Arial" w:cs="Arial"/>
        </w:rPr>
      </w:pPr>
      <w:r w:rsidRPr="0033529B">
        <w:rPr>
          <w:rFonts w:ascii="Arial" w:hAnsi="Arial" w:cs="Arial"/>
        </w:rPr>
        <w:t>- размер профицита бюджета на 202</w:t>
      </w:r>
      <w:r>
        <w:rPr>
          <w:rFonts w:ascii="Arial" w:hAnsi="Arial" w:cs="Arial"/>
        </w:rPr>
        <w:t>7</w:t>
      </w:r>
      <w:r w:rsidRPr="0033529B">
        <w:rPr>
          <w:rFonts w:ascii="Arial" w:hAnsi="Arial" w:cs="Arial"/>
        </w:rPr>
        <w:t xml:space="preserve"> год в сумме </w:t>
      </w:r>
      <w:r>
        <w:rPr>
          <w:rFonts w:ascii="Arial" w:hAnsi="Arial" w:cs="Arial"/>
        </w:rPr>
        <w:t>30 553,3</w:t>
      </w:r>
      <w:r w:rsidRPr="0033529B">
        <w:rPr>
          <w:rFonts w:ascii="Arial" w:hAnsi="Arial" w:cs="Arial"/>
        </w:rPr>
        <w:t xml:space="preserve"> тыс. рублей, на 202</w:t>
      </w:r>
      <w:r>
        <w:rPr>
          <w:rFonts w:ascii="Arial" w:hAnsi="Arial" w:cs="Arial"/>
        </w:rPr>
        <w:t>8</w:t>
      </w:r>
      <w:r w:rsidRPr="0033529B">
        <w:rPr>
          <w:rFonts w:ascii="Arial" w:hAnsi="Arial" w:cs="Arial"/>
        </w:rPr>
        <w:t xml:space="preserve"> год в сумме </w:t>
      </w:r>
      <w:r>
        <w:rPr>
          <w:rFonts w:ascii="Arial" w:hAnsi="Arial" w:cs="Arial"/>
        </w:rPr>
        <w:t>30 553,3</w:t>
      </w:r>
      <w:r w:rsidRPr="0033529B">
        <w:rPr>
          <w:rFonts w:ascii="Arial" w:hAnsi="Arial" w:cs="Arial"/>
        </w:rPr>
        <w:t xml:space="preserve"> тыс. рублей</w:t>
      </w:r>
      <w:r w:rsidRPr="009F7D2D">
        <w:rPr>
          <w:rFonts w:ascii="Arial" w:hAnsi="Arial" w:cs="Arial"/>
        </w:rPr>
        <w:t>.</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p w:rsidR="007662BE" w:rsidRPr="00801C28" w:rsidRDefault="007662BE" w:rsidP="007662BE">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относящейся к части налоговой базы, превышающей 2,4 миллионов рублей и </w:t>
            </w:r>
            <w:r w:rsidRPr="004573B6">
              <w:rPr>
                <w:rFonts w:ascii="Arial" w:hAnsi="Arial" w:cs="Arial"/>
              </w:rPr>
              <w:lastRenderedPageBreak/>
              <w:t xml:space="preserve">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доходов от сдачи в аренду имущества, находящегося в оперативном управлении органов </w:t>
            </w:r>
            <w:r w:rsidRPr="004573B6">
              <w:rPr>
                <w:rFonts w:ascii="Arial" w:hAnsi="Arial" w:cs="Arial"/>
              </w:rPr>
              <w:lastRenderedPageBreak/>
              <w:t>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lastRenderedPageBreak/>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lastRenderedPageBreak/>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Федерации о контрактной системе в сфере закупок </w:t>
            </w:r>
            <w:r w:rsidRPr="004573B6">
              <w:rPr>
                <w:rFonts w:ascii="Arial" w:hAnsi="Arial" w:cs="Arial"/>
              </w:rPr>
              <w:lastRenderedPageBreak/>
              <w:t>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7662BE" w:rsidRPr="0006788F" w:rsidRDefault="007662BE" w:rsidP="007662BE">
      <w:pPr>
        <w:ind w:firstLine="709"/>
        <w:jc w:val="both"/>
        <w:rPr>
          <w:rFonts w:ascii="Arial" w:hAnsi="Arial" w:cs="Arial"/>
        </w:rPr>
      </w:pPr>
      <w:r w:rsidRPr="0006788F">
        <w:rPr>
          <w:rFonts w:ascii="Arial" w:hAnsi="Arial" w:cs="Arial"/>
        </w:rPr>
        <w:t>5. Утвердить общий объем налоговых и неналоговых доходов:</w:t>
      </w:r>
    </w:p>
    <w:p w:rsidR="007662BE" w:rsidRPr="0006788F" w:rsidRDefault="007662BE" w:rsidP="007662BE">
      <w:pPr>
        <w:ind w:firstLine="708"/>
        <w:jc w:val="both"/>
        <w:rPr>
          <w:rFonts w:ascii="Arial" w:hAnsi="Arial" w:cs="Arial"/>
        </w:rPr>
      </w:pPr>
      <w:r w:rsidRPr="0006788F">
        <w:rPr>
          <w:rFonts w:ascii="Arial" w:hAnsi="Arial" w:cs="Arial"/>
        </w:rPr>
        <w:t>- на 2026 год в сумме 3 568 627,2 тыс. рублей, в том числе доходов, формирующих муниципальный дорожный фонд городского округа город Арзамас, в сумме 58 502,4 тыс. рублей;</w:t>
      </w:r>
    </w:p>
    <w:p w:rsidR="007662BE" w:rsidRPr="0006788F" w:rsidRDefault="007662BE" w:rsidP="007662BE">
      <w:pPr>
        <w:ind w:firstLine="708"/>
        <w:jc w:val="both"/>
        <w:rPr>
          <w:rFonts w:ascii="Arial" w:hAnsi="Arial" w:cs="Arial"/>
        </w:rPr>
      </w:pPr>
      <w:r w:rsidRPr="0006788F">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w:t>
      </w:r>
      <w:r>
        <w:rPr>
          <w:rFonts w:ascii="Arial" w:hAnsi="Arial" w:cs="Arial"/>
        </w:rPr>
        <w:t xml:space="preserve"> </w:t>
      </w:r>
      <w:r w:rsidRPr="0006788F">
        <w:rPr>
          <w:rFonts w:ascii="Arial" w:hAnsi="Arial" w:cs="Arial"/>
        </w:rPr>
        <w:t>тыс. рублей;</w:t>
      </w:r>
    </w:p>
    <w:p w:rsidR="007662BE" w:rsidRPr="0006788F" w:rsidRDefault="007662BE" w:rsidP="007662BE">
      <w:pPr>
        <w:ind w:firstLine="708"/>
        <w:jc w:val="both"/>
        <w:rPr>
          <w:rFonts w:ascii="Arial" w:hAnsi="Arial" w:cs="Arial"/>
        </w:rPr>
      </w:pPr>
      <w:r w:rsidRPr="0006788F">
        <w:rPr>
          <w:rFonts w:ascii="Arial" w:hAnsi="Arial" w:cs="Arial"/>
        </w:rPr>
        <w:t>- на 2028</w:t>
      </w:r>
      <w:r>
        <w:rPr>
          <w:rFonts w:ascii="Arial" w:hAnsi="Arial" w:cs="Arial"/>
        </w:rPr>
        <w:t xml:space="preserve"> </w:t>
      </w:r>
      <w:r w:rsidRPr="0006788F">
        <w:rPr>
          <w:rFonts w:ascii="Arial" w:hAnsi="Arial" w:cs="Arial"/>
        </w:rPr>
        <w:t>год в сумме 3 935 269,5 тыс. рублей, в том числе доходов, формирующих муниципальный дорожный фонд городского округа город Арзамас, в сумме 81 216,3    тыс. рублей.</w:t>
      </w:r>
    </w:p>
    <w:p w:rsidR="007662BE" w:rsidRPr="0006788F" w:rsidRDefault="007662BE" w:rsidP="007662BE">
      <w:pPr>
        <w:jc w:val="both"/>
        <w:rPr>
          <w:rFonts w:ascii="Arial" w:hAnsi="Arial" w:cs="Arial"/>
        </w:rPr>
      </w:pPr>
    </w:p>
    <w:p w:rsidR="007662BE" w:rsidRPr="0006788F" w:rsidRDefault="007662BE" w:rsidP="007662BE">
      <w:pPr>
        <w:ind w:firstLine="708"/>
        <w:jc w:val="both"/>
        <w:rPr>
          <w:rFonts w:ascii="Arial" w:hAnsi="Arial" w:cs="Arial"/>
        </w:rPr>
      </w:pPr>
      <w:r w:rsidRPr="0006788F">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7662BE" w:rsidRPr="0006788F" w:rsidRDefault="007662BE" w:rsidP="007662BE">
      <w:pPr>
        <w:ind w:firstLine="708"/>
        <w:jc w:val="both"/>
        <w:rPr>
          <w:rFonts w:ascii="Arial" w:hAnsi="Arial" w:cs="Arial"/>
        </w:rPr>
      </w:pPr>
      <w:r w:rsidRPr="0006788F">
        <w:rPr>
          <w:rFonts w:ascii="Arial" w:hAnsi="Arial" w:cs="Arial"/>
        </w:rPr>
        <w:t>- на 2026 год в сумме 3 9</w:t>
      </w:r>
      <w:r>
        <w:rPr>
          <w:rFonts w:ascii="Arial" w:hAnsi="Arial" w:cs="Arial"/>
        </w:rPr>
        <w:t>0</w:t>
      </w:r>
      <w:r w:rsidRPr="0006788F">
        <w:rPr>
          <w:rFonts w:ascii="Arial" w:hAnsi="Arial" w:cs="Arial"/>
        </w:rPr>
        <w:t>1 223,7</w:t>
      </w:r>
      <w:r>
        <w:rPr>
          <w:rFonts w:ascii="Arial" w:hAnsi="Arial" w:cs="Arial"/>
        </w:rPr>
        <w:t xml:space="preserve"> </w:t>
      </w:r>
      <w:r w:rsidRPr="0006788F">
        <w:rPr>
          <w:rFonts w:ascii="Arial" w:hAnsi="Arial" w:cs="Arial"/>
        </w:rPr>
        <w:t>тыс. рублей;</w:t>
      </w:r>
    </w:p>
    <w:p w:rsidR="007662BE" w:rsidRPr="0006788F" w:rsidRDefault="007662BE" w:rsidP="007662BE">
      <w:pPr>
        <w:ind w:firstLine="708"/>
        <w:jc w:val="both"/>
        <w:rPr>
          <w:rFonts w:ascii="Arial" w:hAnsi="Arial" w:cs="Arial"/>
        </w:rPr>
      </w:pPr>
      <w:r w:rsidRPr="0006788F">
        <w:rPr>
          <w:rFonts w:ascii="Arial" w:hAnsi="Arial" w:cs="Arial"/>
        </w:rPr>
        <w:t>- на 2027 год в сумме 3 339 751,6 тыс. рублей;</w:t>
      </w:r>
    </w:p>
    <w:p w:rsidR="007662BE" w:rsidRDefault="007662BE" w:rsidP="007662BE">
      <w:pPr>
        <w:ind w:firstLine="708"/>
        <w:jc w:val="both"/>
        <w:rPr>
          <w:rFonts w:ascii="Arial" w:hAnsi="Arial" w:cs="Arial"/>
        </w:rPr>
      </w:pPr>
      <w:r w:rsidRPr="0006788F">
        <w:rPr>
          <w:rFonts w:ascii="Arial" w:hAnsi="Arial" w:cs="Arial"/>
        </w:rPr>
        <w:t>- на 2028 год в сумме 3 540 010,8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lastRenderedPageBreak/>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r w:rsidRPr="00801C28">
        <w:rPr>
          <w:rFonts w:ascii="Arial" w:hAnsi="Arial" w:cs="Arial"/>
        </w:rPr>
        <w:tab/>
      </w: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20 000,0</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предоставлении услуг и выполнении работ по распоряжениям администрации </w:t>
      </w:r>
      <w:r w:rsidRPr="00717C05">
        <w:rPr>
          <w:rFonts w:ascii="Arial" w:hAnsi="Arial" w:cs="Arial"/>
        </w:rPr>
        <w:lastRenderedPageBreak/>
        <w:t>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 и (или) </w:t>
      </w:r>
      <w:r w:rsidRPr="00031755">
        <w:rPr>
          <w:rFonts w:ascii="Arial" w:eastAsiaTheme="minorHAnsi" w:hAnsi="Arial" w:cs="Arial"/>
          <w:lang w:eastAsia="en-US"/>
        </w:rPr>
        <w:lastRenderedPageBreak/>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 xml:space="preserve">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 </w:t>
      </w:r>
    </w:p>
    <w:p w:rsidR="007662BE" w:rsidRPr="00031755" w:rsidRDefault="007662BE" w:rsidP="007662BE">
      <w:pPr>
        <w:ind w:firstLine="708"/>
        <w:jc w:val="both"/>
        <w:rPr>
          <w:rFonts w:ascii="Arial" w:hAnsi="Arial" w:cs="Arial"/>
        </w:rPr>
      </w:pPr>
      <w:r w:rsidRPr="00031755">
        <w:rPr>
          <w:rFonts w:ascii="Arial" w:hAnsi="Arial" w:cs="Arial"/>
        </w:rPr>
        <w:t>5) авансовые платежи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7662BE" w:rsidRPr="00031755" w:rsidRDefault="007662BE" w:rsidP="007662BE">
      <w:pPr>
        <w:ind w:firstLine="708"/>
        <w:jc w:val="both"/>
        <w:rPr>
          <w:rFonts w:ascii="Arial" w:hAnsi="Arial" w:cs="Arial"/>
        </w:rPr>
      </w:pPr>
      <w:r w:rsidRPr="00031755">
        <w:rPr>
          <w:rFonts w:ascii="Arial" w:hAnsi="Arial" w:cs="Arial"/>
        </w:rPr>
        <w:t>6)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7662BE" w:rsidRPr="00031755" w:rsidRDefault="007662BE" w:rsidP="007662BE">
      <w:pPr>
        <w:ind w:firstLine="708"/>
        <w:jc w:val="both"/>
        <w:rPr>
          <w:rFonts w:ascii="Arial" w:hAnsi="Arial" w:cs="Arial"/>
        </w:rPr>
      </w:pPr>
      <w:r w:rsidRPr="00031755">
        <w:rPr>
          <w:rFonts w:ascii="Arial" w:hAnsi="Arial" w:cs="Arial"/>
        </w:rPr>
        <w:t xml:space="preserve">7)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7662BE" w:rsidP="007662BE">
      <w:pPr>
        <w:ind w:firstLine="708"/>
        <w:jc w:val="both"/>
        <w:rPr>
          <w:rFonts w:ascii="Arial" w:hAnsi="Arial" w:cs="Arial"/>
        </w:rPr>
      </w:pPr>
      <w:r w:rsidRPr="00031755">
        <w:rPr>
          <w:rFonts w:ascii="Arial" w:hAnsi="Arial" w:cs="Arial"/>
        </w:rPr>
        <w:t>8)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bookmarkStart w:id="0" w:name="_GoBack"/>
      <w:bookmarkEnd w:id="0"/>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w:t>
      </w:r>
      <w:r w:rsidRPr="006A2490">
        <w:rPr>
          <w:rFonts w:ascii="Arial" w:hAnsi="Arial" w:cs="Arial"/>
        </w:rPr>
        <w:lastRenderedPageBreak/>
        <w:t>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w:t>
      </w:r>
      <w:r w:rsidRPr="009C70B7">
        <w:rPr>
          <w:rFonts w:ascii="Arial" w:hAnsi="Arial" w:cs="Arial"/>
        </w:rPr>
        <w:lastRenderedPageBreak/>
        <w:t>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7662BE" w:rsidP="007662BE">
      <w:pPr>
        <w:ind w:firstLine="567"/>
        <w:jc w:val="both"/>
        <w:rPr>
          <w:rFonts w:ascii="Arial" w:hAnsi="Arial" w:cs="Arial"/>
        </w:rPr>
      </w:pPr>
      <w:r w:rsidRPr="006C05A6">
        <w:rPr>
          <w:rFonts w:ascii="Arial" w:hAnsi="Arial" w:cs="Arial"/>
        </w:rPr>
        <w:t>-  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Pr="00103300">
        <w:rPr>
          <w:rFonts w:ascii="Arial" w:hAnsi="Arial" w:cs="Arial"/>
        </w:rPr>
        <w:t xml:space="preserve">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7662BE" w:rsidP="007662BE">
      <w:pPr>
        <w:ind w:firstLine="567"/>
        <w:jc w:val="both"/>
        <w:rPr>
          <w:rFonts w:ascii="Arial" w:hAnsi="Arial" w:cs="Arial"/>
        </w:rPr>
      </w:pPr>
      <w:r w:rsidRPr="00103300">
        <w:rPr>
          <w:rFonts w:ascii="Arial" w:hAnsi="Arial" w:cs="Arial"/>
        </w:rPr>
        <w:t>-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r>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поддержку собственного производства молока;</w:t>
      </w:r>
    </w:p>
    <w:p w:rsidR="007662BE" w:rsidRPr="006C05A6" w:rsidRDefault="007662BE" w:rsidP="007662BE">
      <w:pPr>
        <w:ind w:firstLine="567"/>
        <w:jc w:val="both"/>
        <w:rPr>
          <w:rFonts w:ascii="Arial" w:hAnsi="Arial" w:cs="Arial"/>
        </w:rPr>
      </w:pPr>
      <w:r w:rsidRPr="006C05A6">
        <w:rPr>
          <w:rFonts w:ascii="Arial" w:hAnsi="Arial" w:cs="Arial"/>
        </w:rPr>
        <w:t>-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приобретение оборудования и техники;</w:t>
      </w:r>
    </w:p>
    <w:p w:rsidR="007662BE" w:rsidRPr="006C05A6" w:rsidRDefault="007662BE" w:rsidP="007662BE">
      <w:pPr>
        <w:ind w:firstLine="567"/>
        <w:jc w:val="both"/>
        <w:rPr>
          <w:rFonts w:ascii="Arial" w:hAnsi="Arial" w:cs="Arial"/>
        </w:rPr>
      </w:pPr>
      <w:r w:rsidRPr="006C05A6">
        <w:rPr>
          <w:rFonts w:ascii="Arial" w:hAnsi="Arial" w:cs="Arial"/>
        </w:rPr>
        <w:t>-  на стимулирование увеличения производства картофеля и овощей открытого грунта;</w:t>
      </w:r>
    </w:p>
    <w:p w:rsidR="007662BE" w:rsidRPr="006C05A6" w:rsidRDefault="007662BE" w:rsidP="007662BE">
      <w:pPr>
        <w:ind w:firstLine="567"/>
        <w:jc w:val="both"/>
        <w:rPr>
          <w:rFonts w:ascii="Arial" w:hAnsi="Arial" w:cs="Arial"/>
        </w:rPr>
      </w:pPr>
      <w:r w:rsidRPr="006C05A6">
        <w:rPr>
          <w:rFonts w:ascii="Arial" w:hAnsi="Arial" w:cs="Arial"/>
        </w:rPr>
        <w:t>- на возмещение производителям зерновых культур части затрат на производство и реализацию зерновых культур;</w:t>
      </w:r>
    </w:p>
    <w:p w:rsidR="007662BE" w:rsidRPr="006C05A6" w:rsidRDefault="007662BE" w:rsidP="007662BE">
      <w:pPr>
        <w:ind w:firstLine="567"/>
        <w:jc w:val="both"/>
        <w:rPr>
          <w:rFonts w:ascii="Arial" w:hAnsi="Arial" w:cs="Arial"/>
        </w:rPr>
      </w:pPr>
      <w:r w:rsidRPr="006C05A6">
        <w:rPr>
          <w:rFonts w:ascii="Arial" w:hAnsi="Arial" w:cs="Arial"/>
        </w:rPr>
        <w:t>-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7662BE" w:rsidRPr="006C05A6" w:rsidRDefault="007662BE" w:rsidP="007662BE">
      <w:pPr>
        <w:autoSpaceDE w:val="0"/>
        <w:autoSpaceDN w:val="0"/>
        <w:adjustRightInd w:val="0"/>
        <w:ind w:firstLine="567"/>
        <w:jc w:val="both"/>
        <w:rPr>
          <w:rFonts w:ascii="Arial" w:eastAsiaTheme="minorHAnsi" w:hAnsi="Arial" w:cs="Arial"/>
          <w:lang w:eastAsia="en-US"/>
        </w:rPr>
      </w:pPr>
      <w:r w:rsidRPr="006C05A6">
        <w:rPr>
          <w:rFonts w:ascii="Arial" w:hAnsi="Arial" w:cs="Arial"/>
        </w:rPr>
        <w:t xml:space="preserve">- </w:t>
      </w:r>
      <w:r w:rsidRPr="006C05A6">
        <w:rPr>
          <w:rFonts w:ascii="Arial" w:eastAsiaTheme="minorHAnsi" w:hAnsi="Arial" w:cs="Arial"/>
          <w:lang w:eastAsia="en-US"/>
        </w:rPr>
        <w:t>на возмещение части затрат на поддержку элитного семеноводства, источником финансового обеспечения которой является субвенция бюджету для осуществления переданных государственных полномочий по стимулированию увеличения производства картофеля и овощей;</w:t>
      </w:r>
    </w:p>
    <w:p w:rsidR="007662BE" w:rsidRPr="006C05A6" w:rsidRDefault="007662BE" w:rsidP="007662BE">
      <w:pPr>
        <w:ind w:firstLine="567"/>
        <w:jc w:val="both"/>
        <w:rPr>
          <w:rFonts w:ascii="Arial" w:hAnsi="Arial" w:cs="Arial"/>
        </w:rPr>
      </w:pPr>
      <w:r w:rsidRPr="006C05A6">
        <w:rPr>
          <w:rFonts w:ascii="Arial" w:hAnsi="Arial" w:cs="Arial"/>
        </w:rPr>
        <w:t>- на поддержку элитного семеноводства;</w:t>
      </w:r>
    </w:p>
    <w:p w:rsidR="007662BE" w:rsidRPr="006C05A6" w:rsidRDefault="007662BE" w:rsidP="007662BE">
      <w:pPr>
        <w:ind w:firstLine="567"/>
        <w:jc w:val="both"/>
        <w:rPr>
          <w:rFonts w:ascii="Arial" w:hAnsi="Arial" w:cs="Arial"/>
        </w:rPr>
      </w:pPr>
      <w:r w:rsidRPr="006C05A6">
        <w:rPr>
          <w:rFonts w:ascii="Arial" w:hAnsi="Arial" w:cs="Arial"/>
        </w:rPr>
        <w:t>- на поддержку племенного животноводства;</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lastRenderedPageBreak/>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Pr="003D71F4">
        <w:rPr>
          <w:rFonts w:ascii="Arial" w:hAnsi="Arial" w:cs="Arial"/>
        </w:rPr>
        <w:t>финансовое обеспечение  затрат, связанных с изданием литературных произведений</w:t>
      </w:r>
      <w:r>
        <w:rPr>
          <w:rFonts w:ascii="Arial" w:hAnsi="Arial" w:cs="Arial"/>
        </w:rPr>
        <w:t>;</w:t>
      </w:r>
    </w:p>
    <w:p w:rsidR="007662BE"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7662BE" w:rsidRPr="00B616B7" w:rsidRDefault="007662BE" w:rsidP="007662BE">
      <w:pPr>
        <w:ind w:firstLine="567"/>
        <w:jc w:val="both"/>
        <w:rPr>
          <w:rFonts w:ascii="Arial" w:hAnsi="Arial" w:cs="Arial"/>
          <w:color w:val="000000" w:themeColor="text1"/>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 xml:space="preserve">21. Установить, что погашение кредиторской задолженности по ранее принятым бюджетным обязательствам осуществляется в пределах выделенных объемов </w:t>
      </w:r>
      <w:r w:rsidRPr="009C70B7">
        <w:rPr>
          <w:rFonts w:ascii="Arial" w:hAnsi="Arial" w:cs="Arial"/>
        </w:rPr>
        <w:lastRenderedPageBreak/>
        <w:t>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Pr>
          <w:rFonts w:ascii="Arial" w:hAnsi="Arial" w:cs="Arial"/>
        </w:rPr>
        <w:t>58 502,4</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7662BE" w:rsidRPr="00DE299F" w:rsidRDefault="007662BE" w:rsidP="007662BE">
      <w:pPr>
        <w:ind w:firstLine="567"/>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7662BE" w:rsidRPr="00662B6D" w:rsidRDefault="007662BE" w:rsidP="007662BE">
      <w:pPr>
        <w:ind w:firstLine="709"/>
        <w:jc w:val="both"/>
        <w:rPr>
          <w:rFonts w:ascii="Arial" w:hAnsi="Arial" w:cs="Arial"/>
        </w:rPr>
      </w:pPr>
      <w:r w:rsidRPr="00DE299F">
        <w:rPr>
          <w:rFonts w:ascii="Arial" w:hAnsi="Arial" w:cs="Arial"/>
        </w:rPr>
        <w:t>- на 1 января 202</w:t>
      </w:r>
      <w:r>
        <w:rPr>
          <w:rFonts w:ascii="Arial" w:hAnsi="Arial" w:cs="Arial"/>
        </w:rPr>
        <w:t>7</w:t>
      </w:r>
      <w:r w:rsidRPr="00DE299F">
        <w:rPr>
          <w:rFonts w:ascii="Arial" w:hAnsi="Arial" w:cs="Arial"/>
        </w:rPr>
        <w:t xml:space="preserve"> года в размере </w:t>
      </w:r>
      <w:r>
        <w:rPr>
          <w:rFonts w:ascii="Arial" w:hAnsi="Arial" w:cs="Arial"/>
        </w:rPr>
        <w:t>397 193,3</w:t>
      </w:r>
      <w:r w:rsidRPr="00662B6D">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7</w:t>
      </w:r>
      <w:r w:rsidRPr="00662B6D">
        <w:rPr>
          <w:rFonts w:ascii="Arial" w:hAnsi="Arial" w:cs="Arial"/>
        </w:rPr>
        <w:t xml:space="preserve"> года в размере 0,0 тыс. рублей;</w:t>
      </w:r>
    </w:p>
    <w:p w:rsidR="007662BE" w:rsidRPr="00662B6D" w:rsidRDefault="007662BE" w:rsidP="007662BE">
      <w:pPr>
        <w:ind w:firstLine="709"/>
        <w:jc w:val="both"/>
        <w:rPr>
          <w:rFonts w:ascii="Arial" w:hAnsi="Arial" w:cs="Arial"/>
        </w:rPr>
      </w:pPr>
      <w:r w:rsidRPr="00662B6D">
        <w:rPr>
          <w:rFonts w:ascii="Arial" w:hAnsi="Arial" w:cs="Arial"/>
        </w:rPr>
        <w:t>- на 1 января 202</w:t>
      </w:r>
      <w:r>
        <w:rPr>
          <w:rFonts w:ascii="Arial" w:hAnsi="Arial" w:cs="Arial"/>
        </w:rPr>
        <w:t>8</w:t>
      </w:r>
      <w:r w:rsidRPr="00662B6D">
        <w:rPr>
          <w:rFonts w:ascii="Arial" w:hAnsi="Arial" w:cs="Arial"/>
        </w:rPr>
        <w:t xml:space="preserve"> года в размере </w:t>
      </w:r>
      <w:r>
        <w:rPr>
          <w:rFonts w:ascii="Arial" w:hAnsi="Arial" w:cs="Arial"/>
        </w:rPr>
        <w:t>366 640</w:t>
      </w:r>
      <w:r w:rsidRPr="00662B6D">
        <w:rPr>
          <w:rFonts w:ascii="Arial" w:hAnsi="Arial" w:cs="Arial"/>
        </w:rPr>
        <w:t>,0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8</w:t>
      </w:r>
      <w:r w:rsidRPr="00662B6D">
        <w:rPr>
          <w:rFonts w:ascii="Arial" w:hAnsi="Arial" w:cs="Arial"/>
        </w:rPr>
        <w:t xml:space="preserve"> года в размере 0,0 тыс. рублей;</w:t>
      </w:r>
    </w:p>
    <w:p w:rsidR="007662BE" w:rsidRPr="00DE299F" w:rsidRDefault="007662BE" w:rsidP="007662BE">
      <w:pPr>
        <w:ind w:firstLine="709"/>
        <w:jc w:val="both"/>
        <w:rPr>
          <w:rFonts w:ascii="Arial" w:hAnsi="Arial" w:cs="Arial"/>
        </w:rPr>
      </w:pPr>
      <w:r w:rsidRPr="00662B6D">
        <w:rPr>
          <w:rFonts w:ascii="Arial" w:hAnsi="Arial" w:cs="Arial"/>
        </w:rPr>
        <w:t>- на 1 января 202</w:t>
      </w:r>
      <w:r>
        <w:rPr>
          <w:rFonts w:ascii="Arial" w:hAnsi="Arial" w:cs="Arial"/>
        </w:rPr>
        <w:t>9</w:t>
      </w:r>
      <w:r w:rsidRPr="00662B6D">
        <w:rPr>
          <w:rFonts w:ascii="Arial" w:hAnsi="Arial" w:cs="Arial"/>
        </w:rPr>
        <w:t xml:space="preserve"> года в размере </w:t>
      </w:r>
      <w:r>
        <w:rPr>
          <w:rFonts w:ascii="Arial" w:hAnsi="Arial" w:cs="Arial"/>
        </w:rPr>
        <w:t xml:space="preserve">336 086,7 </w:t>
      </w:r>
      <w:r w:rsidRPr="00662B6D">
        <w:rPr>
          <w:rFonts w:ascii="Arial" w:hAnsi="Arial" w:cs="Arial"/>
        </w:rPr>
        <w:t>тыс. р</w:t>
      </w:r>
      <w:r w:rsidRPr="009C70B7">
        <w:rPr>
          <w:rFonts w:ascii="Arial" w:hAnsi="Arial" w:cs="Arial"/>
        </w:rPr>
        <w:t>ублей, в том числе установить верхний предел долга по муниципальным</w:t>
      </w:r>
      <w:r w:rsidRPr="00DE299F">
        <w:rPr>
          <w:rFonts w:ascii="Arial" w:hAnsi="Arial" w:cs="Arial"/>
        </w:rPr>
        <w:t xml:space="preserve"> гарантиям городского округа город Арзамас на 1 января 202</w:t>
      </w:r>
      <w:r>
        <w:rPr>
          <w:rFonts w:ascii="Arial" w:hAnsi="Arial" w:cs="Arial"/>
        </w:rPr>
        <w:t>9</w:t>
      </w:r>
      <w:r w:rsidRPr="00DE299F">
        <w:rPr>
          <w:rFonts w:ascii="Arial" w:hAnsi="Arial" w:cs="Arial"/>
        </w:rPr>
        <w:t xml:space="preserve"> года в размере 0,0 тыс. рублей.</w:t>
      </w:r>
    </w:p>
    <w:p w:rsidR="007662BE" w:rsidRDefault="007662BE" w:rsidP="007662BE">
      <w:pPr>
        <w:ind w:firstLine="708"/>
        <w:jc w:val="both"/>
        <w:rPr>
          <w:rFonts w:ascii="Arial" w:hAnsi="Arial" w:cs="Arial"/>
        </w:rPr>
      </w:pPr>
    </w:p>
    <w:p w:rsidR="007662BE" w:rsidRPr="00B46496" w:rsidRDefault="007662BE" w:rsidP="007662BE">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6</w:t>
      </w:r>
      <w:r w:rsidRPr="004A132B">
        <w:rPr>
          <w:rFonts w:ascii="Arial" w:hAnsi="Arial" w:cs="Arial"/>
        </w:rPr>
        <w:t xml:space="preserve"> год и на плановый период 202</w:t>
      </w:r>
      <w:r>
        <w:rPr>
          <w:rFonts w:ascii="Arial" w:hAnsi="Arial" w:cs="Arial"/>
        </w:rPr>
        <w:t>7</w:t>
      </w:r>
      <w:r w:rsidRPr="004A132B">
        <w:rPr>
          <w:rFonts w:ascii="Arial" w:hAnsi="Arial" w:cs="Arial"/>
        </w:rPr>
        <w:t xml:space="preserve"> и 202</w:t>
      </w:r>
      <w:r>
        <w:rPr>
          <w:rFonts w:ascii="Arial" w:hAnsi="Arial" w:cs="Arial"/>
        </w:rPr>
        <w:t>8</w:t>
      </w:r>
      <w:r w:rsidRPr="004A132B">
        <w:rPr>
          <w:rFonts w:ascii="Arial" w:hAnsi="Arial" w:cs="Arial"/>
        </w:rPr>
        <w:t xml:space="preserve"> годов </w:t>
      </w:r>
      <w:r w:rsidRPr="00B46496">
        <w:rPr>
          <w:rFonts w:ascii="Arial" w:hAnsi="Arial" w:cs="Arial"/>
        </w:rPr>
        <w:t>согласно Приложению 9.</w:t>
      </w:r>
    </w:p>
    <w:p w:rsidR="007662BE" w:rsidRPr="00B46496" w:rsidRDefault="007662BE" w:rsidP="007662BE">
      <w:pPr>
        <w:ind w:firstLine="708"/>
        <w:jc w:val="both"/>
        <w:rPr>
          <w:rFonts w:ascii="Arial" w:hAnsi="Arial" w:cs="Arial"/>
        </w:rPr>
      </w:pPr>
      <w:r w:rsidRPr="00B46496">
        <w:rPr>
          <w:rFonts w:ascii="Arial" w:hAnsi="Arial" w:cs="Arial"/>
        </w:rPr>
        <w:t xml:space="preserve">Разрешить администрации </w:t>
      </w:r>
      <w:r>
        <w:rPr>
          <w:rFonts w:ascii="Arial" w:hAnsi="Arial" w:cs="Arial"/>
        </w:rPr>
        <w:t>городского округа город Арзамас</w:t>
      </w:r>
      <w:r w:rsidRPr="00B46496">
        <w:rPr>
          <w:rFonts w:ascii="Arial" w:hAnsi="Arial" w:cs="Arial"/>
        </w:rPr>
        <w:t xml:space="preserve"> в пределах утвержденной Программы муниципальных внутренних заимствований 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принимать решения о привлечении кредитных ресурсов у банков и других кредитных организаций.</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7662BE" w:rsidRPr="004F452A" w:rsidRDefault="007662BE" w:rsidP="007662BE">
      <w:pPr>
        <w:ind w:firstLine="567"/>
        <w:jc w:val="both"/>
        <w:rPr>
          <w:rFonts w:ascii="Arial" w:hAnsi="Arial" w:cs="Arial"/>
        </w:rPr>
      </w:pPr>
      <w:r w:rsidRPr="00DF7E5B">
        <w:rPr>
          <w:rFonts w:ascii="Arial" w:hAnsi="Arial" w:cs="Arial"/>
        </w:rPr>
        <w:t xml:space="preserve">28. </w:t>
      </w:r>
      <w:r w:rsidRPr="004F452A">
        <w:rPr>
          <w:rFonts w:ascii="Arial" w:hAnsi="Arial" w:cs="Arial"/>
        </w:rPr>
        <w:t>Утвердить общий объем капитальных вложений в объекты муниципальной собственности:</w:t>
      </w:r>
    </w:p>
    <w:p w:rsidR="007662BE" w:rsidRPr="00461243" w:rsidRDefault="007662BE" w:rsidP="007662BE">
      <w:pPr>
        <w:ind w:firstLine="567"/>
        <w:jc w:val="both"/>
        <w:rPr>
          <w:rFonts w:ascii="Arial" w:hAnsi="Arial" w:cs="Arial"/>
        </w:rPr>
      </w:pPr>
      <w:r w:rsidRPr="00461243">
        <w:rPr>
          <w:rFonts w:ascii="Arial" w:hAnsi="Arial" w:cs="Arial"/>
        </w:rPr>
        <w:lastRenderedPageBreak/>
        <w:t>- на 202</w:t>
      </w:r>
      <w:r>
        <w:rPr>
          <w:rFonts w:ascii="Arial" w:hAnsi="Arial" w:cs="Arial"/>
        </w:rPr>
        <w:t>6</w:t>
      </w:r>
      <w:r w:rsidRPr="00461243">
        <w:rPr>
          <w:rFonts w:ascii="Arial" w:hAnsi="Arial" w:cs="Arial"/>
        </w:rPr>
        <w:t xml:space="preserve"> год в сумме </w:t>
      </w:r>
      <w:r>
        <w:rPr>
          <w:rFonts w:ascii="Arial" w:hAnsi="Arial" w:cs="Arial"/>
        </w:rPr>
        <w:t xml:space="preserve">410 558,1 </w:t>
      </w:r>
      <w:r w:rsidRPr="00461243">
        <w:rPr>
          <w:rFonts w:ascii="Arial" w:hAnsi="Arial" w:cs="Arial"/>
        </w:rPr>
        <w:t>тыс. рублей;</w:t>
      </w:r>
    </w:p>
    <w:p w:rsidR="007662BE" w:rsidRPr="00461243" w:rsidRDefault="007662BE" w:rsidP="007662BE">
      <w:pPr>
        <w:ind w:firstLine="567"/>
        <w:jc w:val="both"/>
        <w:rPr>
          <w:rFonts w:ascii="Arial" w:hAnsi="Arial" w:cs="Arial"/>
        </w:rPr>
      </w:pPr>
      <w:r w:rsidRPr="00461243">
        <w:rPr>
          <w:rFonts w:ascii="Arial" w:hAnsi="Arial" w:cs="Arial"/>
        </w:rPr>
        <w:t>- на 202</w:t>
      </w:r>
      <w:r>
        <w:rPr>
          <w:rFonts w:ascii="Arial" w:hAnsi="Arial" w:cs="Arial"/>
        </w:rPr>
        <w:t>7</w:t>
      </w:r>
      <w:r w:rsidRPr="00461243">
        <w:rPr>
          <w:rFonts w:ascii="Arial" w:hAnsi="Arial" w:cs="Arial"/>
        </w:rPr>
        <w:t xml:space="preserve"> год в сумме </w:t>
      </w:r>
      <w:r>
        <w:rPr>
          <w:rFonts w:ascii="Arial" w:hAnsi="Arial" w:cs="Arial"/>
        </w:rPr>
        <w:t>28 468,8 тыс. рублей.</w:t>
      </w:r>
    </w:p>
    <w:p w:rsidR="007662BE" w:rsidRDefault="007662BE" w:rsidP="007662BE">
      <w:pPr>
        <w:ind w:firstLine="709"/>
        <w:jc w:val="both"/>
        <w:rPr>
          <w:rFonts w:ascii="Arial" w:hAnsi="Arial" w:cs="Arial"/>
        </w:rPr>
      </w:pPr>
      <w:r w:rsidRPr="00E77219">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7662BE" w:rsidRPr="00DF7E5B" w:rsidRDefault="007662BE" w:rsidP="007662BE">
      <w:pPr>
        <w:ind w:firstLine="567"/>
        <w:jc w:val="both"/>
        <w:rPr>
          <w:rFonts w:ascii="Arial" w:hAnsi="Arial" w:cs="Arial"/>
        </w:rPr>
      </w:pPr>
      <w:r w:rsidRPr="00DF7E5B">
        <w:rPr>
          <w:rFonts w:ascii="Arial" w:hAnsi="Arial" w:cs="Arial"/>
        </w:rPr>
        <w:t>- на 202</w:t>
      </w:r>
      <w:r>
        <w:rPr>
          <w:rFonts w:ascii="Arial" w:hAnsi="Arial" w:cs="Arial"/>
        </w:rPr>
        <w:t>6</w:t>
      </w:r>
      <w:r w:rsidRPr="00DF7E5B">
        <w:rPr>
          <w:rFonts w:ascii="Arial" w:hAnsi="Arial" w:cs="Arial"/>
        </w:rPr>
        <w:t xml:space="preserve"> год согласно Приложению 12;</w:t>
      </w:r>
    </w:p>
    <w:p w:rsidR="007662BE" w:rsidRPr="00DF7E5B" w:rsidRDefault="007662BE" w:rsidP="007662BE">
      <w:pPr>
        <w:ind w:firstLine="567"/>
        <w:jc w:val="both"/>
        <w:rPr>
          <w:rFonts w:ascii="Arial" w:hAnsi="Arial" w:cs="Arial"/>
        </w:rPr>
      </w:pPr>
      <w:r w:rsidRPr="00DF7E5B">
        <w:rPr>
          <w:rFonts w:ascii="Arial" w:hAnsi="Arial" w:cs="Arial"/>
        </w:rPr>
        <w:t>- на 202</w:t>
      </w:r>
      <w:r>
        <w:rPr>
          <w:rFonts w:ascii="Arial" w:hAnsi="Arial" w:cs="Arial"/>
        </w:rPr>
        <w:t>7</w:t>
      </w:r>
      <w:r w:rsidRPr="00DF7E5B">
        <w:rPr>
          <w:rFonts w:ascii="Arial" w:hAnsi="Arial" w:cs="Arial"/>
        </w:rPr>
        <w:t xml:space="preserve"> год согласно Приложению 13</w:t>
      </w:r>
      <w:r>
        <w:rPr>
          <w:rFonts w:ascii="Arial" w:hAnsi="Arial" w:cs="Arial"/>
        </w:rPr>
        <w:t>.</w:t>
      </w:r>
    </w:p>
    <w:p w:rsidR="007662BE" w:rsidRPr="006D0171"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Default="007662BE" w:rsidP="001B1F95">
            <w:pPr>
              <w:ind w:left="509"/>
              <w:jc w:val="both"/>
              <w:rPr>
                <w:rFonts w:ascii="Arial" w:hAnsi="Arial" w:cs="Arial"/>
              </w:rPr>
            </w:pPr>
            <w:r w:rsidRPr="009C70B7">
              <w:rPr>
                <w:rFonts w:ascii="Arial" w:hAnsi="Arial" w:cs="Arial"/>
              </w:rPr>
              <w:t>__________________ А.А. Щелоков</w:t>
            </w:r>
          </w:p>
          <w:p w:rsidR="007662BE" w:rsidRDefault="007662BE" w:rsidP="001B1F95">
            <w:pPr>
              <w:ind w:left="509"/>
              <w:jc w:val="both"/>
              <w:rPr>
                <w:rFonts w:ascii="Arial" w:hAnsi="Arial" w:cs="Arial"/>
              </w:rPr>
            </w:pPr>
            <w:r w:rsidRPr="00D05D3B">
              <w:rPr>
                <w:rFonts w:ascii="Arial" w:hAnsi="Arial" w:cs="Arial"/>
              </w:rPr>
              <w:t xml:space="preserve"> </w:t>
            </w:r>
          </w:p>
          <w:p w:rsidR="007662BE" w:rsidRPr="00D05D3B" w:rsidRDefault="007662BE" w:rsidP="001B1F95">
            <w:pPr>
              <w:ind w:left="509"/>
              <w:jc w:val="both"/>
              <w:rPr>
                <w:rFonts w:ascii="Arial" w:hAnsi="Arial" w:cs="Arial"/>
              </w:rPr>
            </w:pPr>
          </w:p>
        </w:tc>
      </w:tr>
    </w:tbl>
    <w:p w:rsidR="007662BE" w:rsidRDefault="007662BE" w:rsidP="007662BE">
      <w:pPr>
        <w:spacing w:after="200" w:line="276" w:lineRule="auto"/>
        <w:rPr>
          <w:rFonts w:ascii="Arial" w:hAnsi="Arial" w:cs="Arial"/>
        </w:rPr>
      </w:pPr>
    </w:p>
    <w:p w:rsidR="00282664" w:rsidRPr="00F0057C" w:rsidRDefault="00282664" w:rsidP="007662BE">
      <w:pPr>
        <w:widowControl w:val="0"/>
        <w:jc w:val="cente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95354-23DA-4A63-B3A9-6E0809A5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13</Pages>
  <Words>5595</Words>
  <Characters>31897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252</cp:revision>
  <cp:lastPrinted>2023-11-15T04:01:00Z</cp:lastPrinted>
  <dcterms:created xsi:type="dcterms:W3CDTF">2022-11-14T05:59:00Z</dcterms:created>
  <dcterms:modified xsi:type="dcterms:W3CDTF">2026-01-23T05:38:00Z</dcterms:modified>
</cp:coreProperties>
</file>